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rPr>
          <w:b w:val="1"/>
          <w:sz w:val="28"/>
        </w:rPr>
      </w:pPr>
    </w:p>
    <w:p w14:paraId="02000000">
      <w:pPr>
        <w:ind/>
        <w:jc w:val="center"/>
        <w:rPr>
          <w:b w:val="1"/>
          <w:sz w:val="28"/>
        </w:rPr>
      </w:pPr>
    </w:p>
    <w:p w14:paraId="03000000">
      <w:pPr>
        <w:ind/>
        <w:jc w:val="center"/>
        <w:rPr>
          <w:b w:val="1"/>
          <w:sz w:val="28"/>
        </w:rPr>
      </w:pPr>
      <w:r>
        <w:rPr>
          <w:rFonts w:ascii="Times New Roman" w:hAnsi="Times New Roman"/>
          <w:color w:val="000000"/>
          <w:sz w:val="24"/>
        </w:rPr>
        <w:drawing>
          <wp:inline>
            <wp:extent cx="5940425" cy="2998772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tretch/>
                  </pic:blipFill>
                  <pic:spPr>
                    <a:xfrm flipH="false" flipV="false" rot="0">
                      <a:ext cx="5940425" cy="2998772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4000000">
      <w:pPr>
        <w:ind/>
        <w:jc w:val="center"/>
        <w:rPr>
          <w:b w:val="1"/>
          <w:sz w:val="28"/>
        </w:rPr>
      </w:pPr>
    </w:p>
    <w:p w14:paraId="05000000">
      <w:pPr>
        <w:ind/>
        <w:jc w:val="center"/>
        <w:rPr>
          <w:b w:val="1"/>
          <w:sz w:val="28"/>
        </w:rPr>
      </w:pPr>
    </w:p>
    <w:p w14:paraId="06000000">
      <w:pPr>
        <w:rPr>
          <w:b w:val="1"/>
          <w:sz w:val="28"/>
        </w:rPr>
      </w:pPr>
    </w:p>
    <w:p w14:paraId="07000000">
      <w:pPr>
        <w:rPr>
          <w:b w:val="1"/>
          <w:sz w:val="28"/>
        </w:rPr>
      </w:pPr>
    </w:p>
    <w:p w14:paraId="08000000">
      <w:pPr>
        <w:ind/>
        <w:jc w:val="center"/>
        <w:rPr>
          <w:b w:val="1"/>
          <w:sz w:val="28"/>
        </w:rPr>
      </w:pPr>
    </w:p>
    <w:p w14:paraId="09000000">
      <w:pPr>
        <w:ind/>
        <w:jc w:val="center"/>
        <w:rPr>
          <w:b w:val="1"/>
        </w:rPr>
      </w:pPr>
      <w:r>
        <w:rPr>
          <w:b w:val="1"/>
          <w:sz w:val="52"/>
        </w:rPr>
        <w:t>Учебный план</w:t>
      </w:r>
    </w:p>
    <w:p w14:paraId="0A000000">
      <w:pPr>
        <w:ind/>
        <w:jc w:val="center"/>
        <w:rPr>
          <w:sz w:val="32"/>
        </w:rPr>
      </w:pPr>
      <w:r>
        <w:rPr>
          <w:b w:val="1"/>
          <w:sz w:val="32"/>
        </w:rPr>
        <w:t xml:space="preserve"> </w:t>
      </w:r>
      <w:r>
        <w:rPr>
          <w:sz w:val="32"/>
        </w:rPr>
        <w:t>д</w:t>
      </w:r>
      <w:r>
        <w:rPr>
          <w:sz w:val="32"/>
        </w:rPr>
        <w:t>ошкольной группы</w:t>
      </w:r>
      <w:r>
        <w:rPr>
          <w:b w:val="1"/>
          <w:sz w:val="32"/>
        </w:rPr>
        <w:t xml:space="preserve"> </w:t>
      </w:r>
      <w:r>
        <w:rPr>
          <w:sz w:val="32"/>
        </w:rPr>
        <w:t xml:space="preserve">муниципального бюджетного  </w:t>
      </w:r>
      <w:r>
        <w:rPr>
          <w:sz w:val="32"/>
        </w:rPr>
        <w:t>образо</w:t>
      </w:r>
      <w:r>
        <w:rPr>
          <w:sz w:val="32"/>
        </w:rPr>
        <w:t>вательного учреждения</w:t>
      </w:r>
      <w:r>
        <w:rPr>
          <w:sz w:val="32"/>
        </w:rPr>
        <w:t xml:space="preserve"> «М</w:t>
      </w:r>
      <w:r>
        <w:rPr>
          <w:sz w:val="32"/>
        </w:rPr>
        <w:t xml:space="preserve">итряевская НОШ» </w:t>
      </w:r>
      <w:r>
        <w:rPr>
          <w:sz w:val="32"/>
        </w:rPr>
        <w:t xml:space="preserve">Муслюмовского муниципального района </w:t>
      </w:r>
      <w:r>
        <w:rPr>
          <w:sz w:val="32"/>
        </w:rPr>
        <w:t xml:space="preserve">                          </w:t>
      </w:r>
      <w:r>
        <w:rPr>
          <w:sz w:val="32"/>
        </w:rPr>
        <w:t xml:space="preserve">Республики Татарстан </w:t>
      </w:r>
    </w:p>
    <w:p w14:paraId="0B000000">
      <w:pPr>
        <w:ind/>
        <w:jc w:val="center"/>
        <w:rPr>
          <w:b w:val="1"/>
          <w:sz w:val="32"/>
        </w:rPr>
      </w:pPr>
      <w:r>
        <w:rPr>
          <w:b w:val="1"/>
          <w:sz w:val="32"/>
        </w:rPr>
        <w:t>на 20</w:t>
      </w:r>
      <w:r>
        <w:rPr>
          <w:b w:val="1"/>
          <w:sz w:val="32"/>
        </w:rPr>
        <w:t>2</w:t>
      </w:r>
      <w:r>
        <w:rPr>
          <w:b w:val="1"/>
          <w:sz w:val="32"/>
        </w:rPr>
        <w:t>4</w:t>
      </w:r>
      <w:r>
        <w:rPr>
          <w:b w:val="1"/>
          <w:sz w:val="32"/>
        </w:rPr>
        <w:t>-202</w:t>
      </w:r>
      <w:r>
        <w:rPr>
          <w:b w:val="1"/>
          <w:sz w:val="32"/>
        </w:rPr>
        <w:t>5</w:t>
      </w:r>
      <w:r>
        <w:rPr>
          <w:b w:val="1"/>
          <w:sz w:val="32"/>
        </w:rPr>
        <w:t xml:space="preserve"> учебный год</w:t>
      </w:r>
    </w:p>
    <w:p w14:paraId="0C000000">
      <w:pPr>
        <w:ind/>
        <w:jc w:val="center"/>
        <w:rPr>
          <w:b w:val="1"/>
          <w:sz w:val="32"/>
        </w:rPr>
      </w:pPr>
    </w:p>
    <w:p w14:paraId="0D000000">
      <w:pPr>
        <w:ind/>
        <w:jc w:val="center"/>
        <w:rPr>
          <w:b w:val="1"/>
          <w:sz w:val="32"/>
        </w:rPr>
      </w:pPr>
    </w:p>
    <w:p w14:paraId="0E000000">
      <w:pPr>
        <w:ind/>
        <w:jc w:val="center"/>
        <w:rPr>
          <w:b w:val="1"/>
          <w:sz w:val="28"/>
        </w:rPr>
      </w:pPr>
    </w:p>
    <w:p w14:paraId="0F000000">
      <w:pPr>
        <w:ind/>
        <w:jc w:val="center"/>
        <w:rPr>
          <w:b w:val="1"/>
          <w:sz w:val="28"/>
        </w:rPr>
      </w:pPr>
    </w:p>
    <w:p w14:paraId="10000000">
      <w:pPr>
        <w:ind/>
        <w:jc w:val="center"/>
        <w:rPr>
          <w:b w:val="1"/>
          <w:sz w:val="28"/>
        </w:rPr>
      </w:pPr>
    </w:p>
    <w:p w14:paraId="11000000">
      <w:pPr>
        <w:ind/>
        <w:jc w:val="center"/>
        <w:rPr>
          <w:b w:val="1"/>
          <w:sz w:val="28"/>
        </w:rPr>
      </w:pPr>
    </w:p>
    <w:p w14:paraId="12000000">
      <w:pPr>
        <w:ind/>
        <w:jc w:val="center"/>
        <w:rPr>
          <w:b w:val="1"/>
          <w:sz w:val="28"/>
        </w:rPr>
      </w:pPr>
    </w:p>
    <w:p w14:paraId="13000000">
      <w:pPr>
        <w:ind/>
        <w:jc w:val="center"/>
        <w:rPr>
          <w:b w:val="1"/>
          <w:sz w:val="28"/>
        </w:rPr>
      </w:pPr>
    </w:p>
    <w:p w14:paraId="14000000">
      <w:pPr>
        <w:ind/>
        <w:jc w:val="center"/>
        <w:rPr>
          <w:b w:val="1"/>
          <w:sz w:val="28"/>
        </w:rPr>
      </w:pPr>
    </w:p>
    <w:p w14:paraId="15000000">
      <w:pPr>
        <w:spacing w:after="120" w:before="600"/>
        <w:ind/>
        <w:jc w:val="center"/>
        <w:rPr>
          <w:b w:val="1"/>
          <w:sz w:val="32"/>
        </w:rPr>
      </w:pPr>
    </w:p>
    <w:p w14:paraId="16000000">
      <w:pPr>
        <w:spacing w:after="120" w:before="600"/>
        <w:ind/>
        <w:jc w:val="center"/>
        <w:rPr>
          <w:b w:val="1"/>
          <w:sz w:val="32"/>
        </w:rPr>
      </w:pPr>
    </w:p>
    <w:p w14:paraId="17000000">
      <w:pPr>
        <w:spacing w:after="120" w:before="600"/>
        <w:ind/>
        <w:jc w:val="center"/>
        <w:rPr>
          <w:b w:val="1"/>
          <w:sz w:val="32"/>
        </w:rPr>
      </w:pPr>
    </w:p>
    <w:p w14:paraId="18000000">
      <w:pPr>
        <w:spacing w:after="120" w:before="600"/>
        <w:ind/>
        <w:jc w:val="center"/>
        <w:rPr>
          <w:b w:val="1"/>
          <w:sz w:val="32"/>
        </w:rPr>
      </w:pPr>
      <w:r>
        <w:rPr>
          <w:b w:val="1"/>
          <w:sz w:val="32"/>
        </w:rPr>
        <w:t>Пояснительная записка</w:t>
      </w:r>
      <w:r>
        <w:rPr>
          <w:b w:val="1"/>
          <w:sz w:val="32"/>
        </w:rPr>
        <w:t xml:space="preserve">                               </w:t>
      </w:r>
      <w:r>
        <w:rPr>
          <w:b w:val="1"/>
          <w:sz w:val="32"/>
        </w:rPr>
        <w:t xml:space="preserve">                                                  </w:t>
      </w:r>
    </w:p>
    <w:p w14:paraId="19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 xml:space="preserve">к учебному плану                                                                                      </w:t>
      </w:r>
      <w:r>
        <w:rPr>
          <w:b w:val="1"/>
          <w:sz w:val="28"/>
        </w:rPr>
        <w:t xml:space="preserve">дошкольной группы </w:t>
      </w:r>
      <w:r>
        <w:rPr>
          <w:b w:val="1"/>
          <w:sz w:val="28"/>
        </w:rPr>
        <w:t>м</w:t>
      </w:r>
      <w:r>
        <w:rPr>
          <w:b w:val="1"/>
          <w:sz w:val="28"/>
        </w:rPr>
        <w:t>униципального  бюджетного образовательного учреждения   «М</w:t>
      </w:r>
      <w:r>
        <w:rPr>
          <w:b w:val="1"/>
          <w:sz w:val="28"/>
        </w:rPr>
        <w:t>итряевская НОШ»</w:t>
      </w:r>
      <w:r>
        <w:rPr>
          <w:b w:val="1"/>
          <w:sz w:val="28"/>
        </w:rPr>
        <w:t xml:space="preserve"> Муслюмовского муниципального района                    Республики Татарстан</w:t>
      </w:r>
    </w:p>
    <w:p w14:paraId="1A000000">
      <w:pPr>
        <w:ind/>
        <w:jc w:val="both"/>
      </w:pPr>
      <w:r>
        <w:rPr>
          <w:sz w:val="28"/>
        </w:rPr>
        <w:t>   </w:t>
      </w:r>
      <w:r>
        <w:t>Учебный план дошкольной группы МБОУ «Митряевская НОШ», с</w:t>
      </w:r>
      <w:r>
        <w:t>оставленн</w:t>
      </w:r>
      <w:r>
        <w:t>ы</w:t>
      </w:r>
      <w:r>
        <w:t>й  на основе основной общеобразовательной программы дошкольного образования «От рождения  до школы» под редакцией Н.Е. Вераксы, Т.С.Комаровой, А.М.Васильевой, соответствует ФГОС (2016г.)   учебно-методически</w:t>
      </w:r>
      <w:r>
        <w:t xml:space="preserve">х </w:t>
      </w:r>
      <w:r>
        <w:t>комплек</w:t>
      </w:r>
      <w:r>
        <w:t>тов по обучению детей родному языку</w:t>
      </w:r>
      <w:r>
        <w:t xml:space="preserve"> «Туган телд</w:t>
      </w:r>
      <w:r>
        <w:t xml:space="preserve">ә сөйләшәбез” </w:t>
      </w:r>
      <w:r>
        <w:t>Ф.В.Хазратовой, З.Г.Шарафутдиновой</w:t>
      </w:r>
      <w:r>
        <w:t xml:space="preserve">, </w:t>
      </w:r>
      <w:r>
        <w:t>по обучению детей русскому языку “Изучаем русский язык” С.М.Гаффаровой,  Г.С.Гарафиевой, по обучению детей грамоте в подготовительной к школе группе “Мәктәпкәчә яшьтәгеләр әлифбасы: “Авазларны уйнатып” Р.К.Шаеховой.</w:t>
      </w:r>
    </w:p>
    <w:p w14:paraId="1B000000">
      <w:pPr>
        <w:ind/>
        <w:jc w:val="center"/>
        <w:rPr>
          <w:b w:val="1"/>
        </w:rPr>
      </w:pPr>
    </w:p>
    <w:p w14:paraId="1C000000">
      <w:pPr>
        <w:ind/>
        <w:jc w:val="center"/>
        <w:rPr>
          <w:b w:val="1"/>
        </w:rPr>
      </w:pPr>
      <w:r>
        <w:rPr>
          <w:b w:val="1"/>
        </w:rPr>
        <w:t xml:space="preserve">Учебный план составлен в соответствии </w:t>
      </w:r>
      <w:r>
        <w:rPr>
          <w:b w:val="1"/>
        </w:rPr>
        <w:t xml:space="preserve">                                                                 </w:t>
      </w:r>
      <w:r>
        <w:rPr>
          <w:b w:val="1"/>
        </w:rPr>
        <w:t xml:space="preserve">                            </w:t>
      </w:r>
      <w:r>
        <w:rPr>
          <w:b w:val="1"/>
        </w:rPr>
        <w:t>со следующими нормативными документами:</w:t>
      </w:r>
    </w:p>
    <w:p w14:paraId="1D000000">
      <w:pPr>
        <w:numPr>
          <w:ilvl w:val="0"/>
          <w:numId w:val="1"/>
        </w:numPr>
        <w:ind w:firstLine="0" w:left="-37"/>
        <w:jc w:val="both"/>
      </w:pPr>
      <w:r>
        <w:t>Федеральным законом от 29.12.2012 №273-ФЗ «Об образовании в Российской Федерации»;</w:t>
      </w:r>
    </w:p>
    <w:p w14:paraId="1E000000">
      <w:pPr>
        <w:numPr>
          <w:ilvl w:val="0"/>
          <w:numId w:val="1"/>
        </w:numPr>
        <w:ind w:firstLine="0" w:left="0"/>
        <w:jc w:val="both"/>
      </w:pPr>
      <w:r>
        <w:t xml:space="preserve">Законом Республики Татарстан от 22.07.2013 №68-ЗРТ «Об образовании» </w:t>
      </w:r>
    </w:p>
    <w:p w14:paraId="1F000000">
      <w:pPr>
        <w:numPr>
          <w:ilvl w:val="0"/>
          <w:numId w:val="1"/>
        </w:numPr>
        <w:ind w:firstLine="0" w:left="0"/>
        <w:jc w:val="both"/>
      </w:pPr>
      <w:r>
        <w:t>Приказом Минобрнауки России от 17.10.2013 №1155 «Об утверждении федерального государственного образовательного стандарта дошкольного образования»;</w:t>
      </w:r>
    </w:p>
    <w:p w14:paraId="20000000">
      <w:pPr>
        <w:numPr>
          <w:ilvl w:val="0"/>
          <w:numId w:val="1"/>
        </w:numPr>
        <w:ind w:firstLine="0" w:left="0"/>
        <w:jc w:val="both"/>
      </w:pPr>
      <w:r>
        <w:t>Конвенцией о правах ребенка ООН;</w:t>
      </w:r>
    </w:p>
    <w:p w14:paraId="21000000">
      <w:pPr>
        <w:numPr>
          <w:ilvl w:val="0"/>
          <w:numId w:val="1"/>
        </w:numPr>
        <w:ind w:firstLine="0" w:left="0"/>
        <w:jc w:val="both"/>
      </w:pPr>
      <w:r>
        <w:t>Постановлением Главного государственного санитарного врача Российской Федерации от 15.05.2013 №26 «Об утверждении СанПин 2.4.1.3049-13 «Санитарно – эпидемиологические требования к устройству, содержанию и организации режима работы дошкольных образовательных организаций»»;</w:t>
      </w:r>
    </w:p>
    <w:p w14:paraId="22000000">
      <w:pPr>
        <w:numPr>
          <w:ilvl w:val="0"/>
          <w:numId w:val="1"/>
        </w:numPr>
        <w:ind w:firstLine="0" w:left="0"/>
        <w:jc w:val="both"/>
      </w:pPr>
      <w:r>
        <w:t>Приказом Минобрнауки России от 30.08.2013 №1014 «Об утверждении порядка организации и осуществления образовательной деятельности по основным общеобразовательным программам дошкольного образования»;</w:t>
      </w:r>
    </w:p>
    <w:p w14:paraId="23000000">
      <w:pPr>
        <w:numPr>
          <w:ilvl w:val="0"/>
          <w:numId w:val="1"/>
        </w:numPr>
        <w:ind w:firstLine="0" w:left="0"/>
        <w:jc w:val="both"/>
      </w:pPr>
      <w:r>
        <w:t>Законом Республики Татарстан от 03.03.2012 №16 «О государственных языках Республики Татарстан и других языках в Республике Татарстан»;</w:t>
      </w:r>
    </w:p>
    <w:p w14:paraId="24000000">
      <w:pPr>
        <w:numPr>
          <w:ilvl w:val="0"/>
          <w:numId w:val="1"/>
        </w:numPr>
        <w:ind w:firstLine="0" w:left="0"/>
        <w:jc w:val="both"/>
      </w:pPr>
      <w:r>
        <w:t xml:space="preserve">Основной образовательной программы </w:t>
      </w:r>
      <w:r>
        <w:t>дошкольной группы МБ</w:t>
      </w:r>
      <w:r>
        <w:t>ОУ «М</w:t>
      </w:r>
      <w:r>
        <w:t>итряевская НОШ»</w:t>
      </w:r>
      <w:r>
        <w:t xml:space="preserve"> на </w:t>
      </w:r>
      <w:r>
        <w:t>2018-2023</w:t>
      </w:r>
      <w:r>
        <w:t xml:space="preserve"> годы;</w:t>
      </w:r>
    </w:p>
    <w:p w14:paraId="25000000">
      <w:pPr>
        <w:numPr>
          <w:ilvl w:val="0"/>
          <w:numId w:val="1"/>
        </w:numPr>
        <w:ind w:firstLine="0" w:left="0"/>
        <w:jc w:val="both"/>
      </w:pPr>
      <w:r>
        <w:t>Ус</w:t>
      </w:r>
      <w:r>
        <w:t>тавом МБ</w:t>
      </w:r>
      <w:r>
        <w:t>ОУ «</w:t>
      </w:r>
      <w:r>
        <w:t>Митряевская НОШ»</w:t>
      </w:r>
      <w:r>
        <w:t>.</w:t>
      </w:r>
    </w:p>
    <w:p w14:paraId="26000000">
      <w:pPr>
        <w:ind w:firstLine="284"/>
        <w:jc w:val="both"/>
      </w:pPr>
      <w:r>
        <w:t>Функционируют две</w:t>
      </w:r>
      <w:r>
        <w:t xml:space="preserve"> групп</w:t>
      </w:r>
      <w:r>
        <w:t>ы от 1 до 7</w:t>
      </w:r>
      <w:r>
        <w:t xml:space="preserve"> лет. </w:t>
      </w:r>
    </w:p>
    <w:p w14:paraId="27000000">
      <w:pPr>
        <w:spacing w:before="60"/>
        <w:ind/>
        <w:jc w:val="center"/>
      </w:pPr>
      <w:r>
        <w:t xml:space="preserve">               Учебный план </w:t>
      </w:r>
      <w:r>
        <w:t>ориентирован на 6</w:t>
      </w:r>
      <w:r>
        <w:t xml:space="preserve">-ти дневную учебную  неделю с продолжительностью учебного года  36 недель, </w:t>
      </w:r>
      <w:r>
        <w:t>с</w:t>
      </w:r>
      <w:r>
        <w:t xml:space="preserve">  </w:t>
      </w:r>
      <w:r>
        <w:t>15 октября по 26 октября и с</w:t>
      </w:r>
    </w:p>
    <w:p w14:paraId="28000000">
      <w:pPr>
        <w:ind/>
        <w:jc w:val="both"/>
      </w:pPr>
      <w:r>
        <w:t>15</w:t>
      </w:r>
      <w:r>
        <w:t xml:space="preserve"> апреля по </w:t>
      </w:r>
      <w:r>
        <w:t>26</w:t>
      </w:r>
      <w:r>
        <w:t xml:space="preserve"> апреля</w:t>
      </w:r>
      <w:r>
        <w:t xml:space="preserve"> –  мониторинг.  </w:t>
      </w:r>
    </w:p>
    <w:p w14:paraId="29000000">
      <w:pPr>
        <w:spacing w:after="150" w:line="330" w:lineRule="atLeast"/>
        <w:ind/>
        <w:jc w:val="both"/>
      </w:pPr>
      <w:r>
        <w:t xml:space="preserve">              В соответствии с требованиями СанПиН 2.4.1.3049-13 (п. 11.9- 11.11) продолжительность  </w:t>
      </w:r>
      <w:r>
        <w:t xml:space="preserve">организованной </w:t>
      </w:r>
      <w:r>
        <w:t xml:space="preserve">образовательной деятельности (далее </w:t>
      </w:r>
      <w:r>
        <w:t>О</w:t>
      </w:r>
      <w:r>
        <w:t xml:space="preserve">ОД) в  первой младшей группе (с 2-3 лет) не более 10 минут, во второй младшей группе (с 3-4 лет) не более 15 минут, в средней группе (с 4-5 лет) – не более 20 минут, в старшей группе (с 5-6 лет) – не более 25 минут, в подготовительной группе (с 6-7 лет) – не более 30 минут. 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и подготовительной 45 минут и 1,5 часа соответственно. </w:t>
      </w:r>
    </w:p>
    <w:p w14:paraId="2A000000">
      <w:pPr>
        <w:spacing w:after="150" w:line="330" w:lineRule="atLeast"/>
        <w:ind/>
        <w:jc w:val="both"/>
      </w:pPr>
      <w:r>
        <w:rPr>
          <w:rFonts w:ascii="Arial" w:hAnsi="Arial"/>
          <w:color w:val="2E2E2E"/>
          <w:sz w:val="21"/>
        </w:rPr>
        <w:t xml:space="preserve">            </w:t>
      </w:r>
    </w:p>
    <w:p w14:paraId="2B000000">
      <w:pPr>
        <w:ind/>
        <w:jc w:val="both"/>
      </w:pPr>
      <w:r>
        <w:t xml:space="preserve">         Для профилактики утомления  в середине времени, отведенного на ООД, проводятся динамические паузы или физкультурные минутки.  Перерывы между периодами непрерывной образовательной деятельности – не менее 10 минут.  </w:t>
      </w:r>
    </w:p>
    <w:p w14:paraId="2C000000">
      <w:pPr>
        <w:ind/>
        <w:jc w:val="both"/>
      </w:pPr>
      <w:r>
        <w:t xml:space="preserve">       </w:t>
      </w:r>
      <w:r>
        <w:t>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должна составлять не более 25 - 30 минут в день. В середине непосредственно образовательной деятельности статического характера проводятся физкультурные минутки.</w:t>
      </w:r>
    </w:p>
    <w:p w14:paraId="2D000000">
      <w:pPr>
        <w:pStyle w:val="Style_1"/>
        <w:ind/>
        <w:jc w:val="both"/>
        <w:rPr>
          <w:sz w:val="23"/>
        </w:rPr>
      </w:pPr>
      <w:r>
        <w:rPr>
          <w:sz w:val="23"/>
        </w:rPr>
        <w:t xml:space="preserve">Структура плана состоит из двух частей: </w:t>
      </w:r>
      <w:r>
        <w:rPr>
          <w:sz w:val="23"/>
        </w:rPr>
        <w:t xml:space="preserve">обязательной </w:t>
      </w:r>
      <w:r>
        <w:rPr>
          <w:sz w:val="23"/>
        </w:rPr>
        <w:t>(</w:t>
      </w:r>
      <w:r>
        <w:rPr>
          <w:sz w:val="23"/>
        </w:rPr>
        <w:t>инвариантной</w:t>
      </w:r>
      <w:r>
        <w:rPr>
          <w:sz w:val="23"/>
        </w:rPr>
        <w:t xml:space="preserve">) и вариативной (модульной) части. </w:t>
      </w:r>
    </w:p>
    <w:p w14:paraId="2E000000">
      <w:pPr>
        <w:pStyle w:val="Style_1"/>
        <w:ind/>
        <w:jc w:val="both"/>
        <w:rPr>
          <w:sz w:val="23"/>
        </w:rPr>
      </w:pPr>
    </w:p>
    <w:p w14:paraId="2F000000">
      <w:pPr>
        <w:ind/>
        <w:jc w:val="both"/>
      </w:pPr>
      <w:r>
        <w:t xml:space="preserve"> </w:t>
      </w:r>
    </w:p>
    <w:p w14:paraId="30000000">
      <w:pPr>
        <w:ind/>
        <w:jc w:val="center"/>
        <w:rPr>
          <w:b w:val="1"/>
          <w:sz w:val="28"/>
        </w:rPr>
      </w:pPr>
      <w:r>
        <w:t xml:space="preserve"> </w:t>
      </w:r>
    </w:p>
    <w:p w14:paraId="31000000">
      <w:pPr>
        <w:ind/>
        <w:jc w:val="center"/>
        <w:rPr>
          <w:b w:val="1"/>
          <w:sz w:val="28"/>
        </w:rPr>
      </w:pPr>
    </w:p>
    <w:p w14:paraId="32000000">
      <w:pPr>
        <w:ind/>
        <w:jc w:val="center"/>
        <w:rPr>
          <w:b w:val="1"/>
          <w:sz w:val="28"/>
        </w:rPr>
      </w:pPr>
    </w:p>
    <w:p w14:paraId="33000000">
      <w:pPr>
        <w:ind/>
        <w:jc w:val="center"/>
        <w:rPr>
          <w:b w:val="1"/>
          <w:sz w:val="28"/>
        </w:rPr>
      </w:pPr>
    </w:p>
    <w:p w14:paraId="34000000">
      <w:pPr>
        <w:ind/>
        <w:jc w:val="center"/>
        <w:rPr>
          <w:b w:val="1"/>
          <w:sz w:val="28"/>
        </w:rPr>
      </w:pPr>
    </w:p>
    <w:p w14:paraId="35000000">
      <w:pPr>
        <w:ind/>
        <w:jc w:val="center"/>
        <w:rPr>
          <w:b w:val="1"/>
          <w:sz w:val="28"/>
        </w:rPr>
      </w:pPr>
    </w:p>
    <w:p w14:paraId="36000000">
      <w:pPr>
        <w:ind/>
        <w:jc w:val="center"/>
        <w:rPr>
          <w:b w:val="1"/>
          <w:sz w:val="28"/>
        </w:rPr>
      </w:pPr>
    </w:p>
    <w:p w14:paraId="37000000">
      <w:pPr>
        <w:ind/>
        <w:jc w:val="center"/>
        <w:rPr>
          <w:b w:val="1"/>
          <w:sz w:val="28"/>
        </w:rPr>
      </w:pPr>
    </w:p>
    <w:p w14:paraId="38000000">
      <w:pPr>
        <w:ind/>
        <w:jc w:val="center"/>
        <w:rPr>
          <w:b w:val="1"/>
          <w:sz w:val="28"/>
        </w:rPr>
      </w:pPr>
    </w:p>
    <w:p w14:paraId="39000000">
      <w:pPr>
        <w:ind/>
        <w:jc w:val="center"/>
        <w:rPr>
          <w:b w:val="1"/>
          <w:sz w:val="28"/>
        </w:rPr>
      </w:pPr>
    </w:p>
    <w:p w14:paraId="3A000000">
      <w:pPr>
        <w:ind/>
        <w:jc w:val="center"/>
        <w:rPr>
          <w:b w:val="1"/>
          <w:sz w:val="28"/>
        </w:rPr>
      </w:pPr>
    </w:p>
    <w:p w14:paraId="3B000000">
      <w:pPr>
        <w:ind/>
        <w:jc w:val="center"/>
        <w:rPr>
          <w:b w:val="1"/>
          <w:sz w:val="28"/>
        </w:rPr>
      </w:pPr>
    </w:p>
    <w:p w14:paraId="3C000000">
      <w:pPr>
        <w:ind/>
        <w:jc w:val="center"/>
        <w:rPr>
          <w:b w:val="1"/>
          <w:sz w:val="28"/>
        </w:rPr>
      </w:pPr>
    </w:p>
    <w:p w14:paraId="3D000000">
      <w:pPr>
        <w:ind/>
        <w:jc w:val="center"/>
        <w:rPr>
          <w:b w:val="1"/>
          <w:sz w:val="28"/>
        </w:rPr>
      </w:pPr>
    </w:p>
    <w:p w14:paraId="3E000000">
      <w:pPr>
        <w:ind/>
        <w:jc w:val="center"/>
        <w:rPr>
          <w:b w:val="1"/>
          <w:sz w:val="28"/>
        </w:rPr>
      </w:pPr>
    </w:p>
    <w:p w14:paraId="3F000000">
      <w:pPr>
        <w:ind/>
        <w:jc w:val="center"/>
        <w:rPr>
          <w:b w:val="1"/>
          <w:sz w:val="28"/>
        </w:rPr>
      </w:pPr>
    </w:p>
    <w:p w14:paraId="40000000">
      <w:pPr>
        <w:ind/>
        <w:jc w:val="center"/>
        <w:rPr>
          <w:b w:val="1"/>
          <w:sz w:val="28"/>
        </w:rPr>
      </w:pPr>
    </w:p>
    <w:p w14:paraId="41000000">
      <w:pPr>
        <w:ind/>
        <w:jc w:val="center"/>
        <w:rPr>
          <w:b w:val="1"/>
          <w:sz w:val="28"/>
        </w:rPr>
      </w:pPr>
    </w:p>
    <w:p w14:paraId="42000000">
      <w:pPr>
        <w:ind/>
        <w:jc w:val="center"/>
        <w:rPr>
          <w:b w:val="1"/>
          <w:sz w:val="28"/>
        </w:rPr>
      </w:pPr>
    </w:p>
    <w:p w14:paraId="43000000">
      <w:pPr>
        <w:ind/>
        <w:jc w:val="center"/>
        <w:rPr>
          <w:b w:val="1"/>
          <w:sz w:val="28"/>
        </w:rPr>
      </w:pPr>
    </w:p>
    <w:p w14:paraId="44000000">
      <w:pPr>
        <w:ind/>
        <w:jc w:val="center"/>
        <w:rPr>
          <w:b w:val="1"/>
          <w:sz w:val="28"/>
        </w:rPr>
      </w:pPr>
    </w:p>
    <w:p w14:paraId="45000000">
      <w:pPr>
        <w:ind/>
        <w:jc w:val="center"/>
        <w:rPr>
          <w:b w:val="1"/>
          <w:sz w:val="28"/>
        </w:rPr>
      </w:pPr>
    </w:p>
    <w:p w14:paraId="46000000">
      <w:pPr>
        <w:ind/>
        <w:jc w:val="center"/>
        <w:rPr>
          <w:b w:val="1"/>
          <w:sz w:val="28"/>
        </w:rPr>
      </w:pPr>
    </w:p>
    <w:p w14:paraId="47000000">
      <w:pPr>
        <w:ind/>
        <w:jc w:val="center"/>
        <w:rPr>
          <w:b w:val="1"/>
          <w:sz w:val="28"/>
        </w:rPr>
      </w:pPr>
    </w:p>
    <w:p w14:paraId="48000000">
      <w:pPr>
        <w:ind/>
        <w:jc w:val="center"/>
        <w:rPr>
          <w:b w:val="1"/>
          <w:sz w:val="28"/>
        </w:rPr>
      </w:pPr>
    </w:p>
    <w:p w14:paraId="49000000">
      <w:pPr>
        <w:ind/>
        <w:jc w:val="center"/>
        <w:rPr>
          <w:b w:val="1"/>
          <w:sz w:val="28"/>
        </w:rPr>
      </w:pPr>
    </w:p>
    <w:p w14:paraId="4A000000">
      <w:pPr>
        <w:ind/>
        <w:jc w:val="center"/>
        <w:rPr>
          <w:b w:val="1"/>
          <w:sz w:val="28"/>
        </w:rPr>
      </w:pPr>
    </w:p>
    <w:p w14:paraId="4B000000">
      <w:pPr>
        <w:ind/>
        <w:jc w:val="center"/>
        <w:rPr>
          <w:b w:val="1"/>
          <w:sz w:val="28"/>
        </w:rPr>
      </w:pPr>
    </w:p>
    <w:p w14:paraId="4C000000">
      <w:pPr>
        <w:ind/>
        <w:jc w:val="center"/>
        <w:rPr>
          <w:b w:val="1"/>
          <w:sz w:val="28"/>
        </w:rPr>
      </w:pPr>
    </w:p>
    <w:p w14:paraId="4D000000">
      <w:pPr>
        <w:ind/>
        <w:jc w:val="center"/>
        <w:rPr>
          <w:b w:val="1"/>
          <w:sz w:val="28"/>
        </w:rPr>
      </w:pPr>
    </w:p>
    <w:p w14:paraId="4E000000">
      <w:pPr>
        <w:ind/>
        <w:jc w:val="center"/>
        <w:rPr>
          <w:b w:val="1"/>
          <w:sz w:val="28"/>
        </w:rPr>
      </w:pPr>
    </w:p>
    <w:p w14:paraId="4F000000">
      <w:pPr>
        <w:ind/>
        <w:jc w:val="center"/>
        <w:rPr>
          <w:b w:val="1"/>
          <w:sz w:val="28"/>
        </w:rPr>
      </w:pPr>
    </w:p>
    <w:p w14:paraId="50000000">
      <w:pPr>
        <w:ind/>
        <w:jc w:val="center"/>
        <w:rPr>
          <w:b w:val="1"/>
          <w:sz w:val="28"/>
        </w:rPr>
      </w:pPr>
    </w:p>
    <w:p w14:paraId="51000000">
      <w:pPr>
        <w:ind/>
        <w:jc w:val="center"/>
        <w:rPr>
          <w:b w:val="1"/>
          <w:sz w:val="28"/>
        </w:rPr>
      </w:pPr>
    </w:p>
    <w:p w14:paraId="52000000">
      <w:pPr>
        <w:rPr>
          <w:b w:val="1"/>
          <w:sz w:val="28"/>
        </w:rPr>
      </w:pPr>
    </w:p>
    <w:p w14:paraId="53000000">
      <w:pPr>
        <w:rPr>
          <w:b w:val="1"/>
          <w:sz w:val="28"/>
        </w:rPr>
      </w:pPr>
    </w:p>
    <w:p w14:paraId="54000000">
      <w:pPr>
        <w:ind/>
        <w:jc w:val="center"/>
        <w:rPr>
          <w:b w:val="1"/>
          <w:sz w:val="28"/>
        </w:rPr>
      </w:pPr>
    </w:p>
    <w:p w14:paraId="55000000">
      <w:pPr>
        <w:ind/>
        <w:jc w:val="center"/>
        <w:rPr>
          <w:b w:val="1"/>
          <w:sz w:val="28"/>
        </w:rPr>
      </w:pPr>
    </w:p>
    <w:p w14:paraId="56000000">
      <w:pPr>
        <w:ind/>
        <w:jc w:val="center"/>
        <w:rPr>
          <w:b w:val="1"/>
          <w:sz w:val="28"/>
        </w:rPr>
      </w:pPr>
    </w:p>
    <w:p w14:paraId="57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>Учебный план</w:t>
      </w:r>
    </w:p>
    <w:p w14:paraId="58000000">
      <w:pPr>
        <w:ind/>
        <w:jc w:val="center"/>
        <w:rPr>
          <w:b w:val="1"/>
          <w:sz w:val="28"/>
        </w:rPr>
      </w:pPr>
    </w:p>
    <w:tbl>
      <w:tblPr>
        <w:tblStyle w:val="Style_2"/>
        <w:tblInd w:type="dxa" w:w="-763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1257"/>
        <w:gridCol w:w="1903"/>
        <w:gridCol w:w="1131"/>
        <w:gridCol w:w="970"/>
        <w:gridCol w:w="163"/>
        <w:gridCol w:w="1095"/>
        <w:gridCol w:w="1259"/>
        <w:gridCol w:w="1173"/>
      </w:tblGrid>
      <w:tr>
        <w:trPr>
          <w:trHeight w:hRule="atLeast" w:val="746"/>
        </w:trPr>
        <w:tc>
          <w:tcPr>
            <w:tcW w:type="dxa" w:w="316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9000000">
            <w:pPr>
              <w:spacing w:line="276" w:lineRule="auto"/>
              <w:ind/>
              <w:jc w:val="center"/>
              <w:rPr>
                <w:sz w:val="23"/>
              </w:rPr>
            </w:pPr>
          </w:p>
        </w:tc>
        <w:tc>
          <w:tcPr>
            <w:tcW w:type="dxa" w:w="11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A000000">
            <w:pPr>
              <w:spacing w:line="276" w:lineRule="auto"/>
              <w:ind/>
              <w:rPr>
                <w:sz w:val="23"/>
              </w:rPr>
            </w:pPr>
            <w:r>
              <w:rPr>
                <w:sz w:val="23"/>
              </w:rPr>
              <w:t>I</w:t>
            </w:r>
            <w:r>
              <w:rPr>
                <w:sz w:val="23"/>
              </w:rPr>
              <w:t xml:space="preserve"> мл. </w:t>
            </w:r>
          </w:p>
          <w:p w14:paraId="5B000000">
            <w:pPr>
              <w:spacing w:line="276" w:lineRule="auto"/>
              <w:ind/>
              <w:rPr>
                <w:sz w:val="23"/>
              </w:rPr>
            </w:pPr>
          </w:p>
        </w:tc>
        <w:tc>
          <w:tcPr>
            <w:tcW w:type="dxa" w:w="113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C000000">
            <w:pPr>
              <w:spacing w:line="276" w:lineRule="auto"/>
              <w:ind/>
              <w:rPr>
                <w:sz w:val="23"/>
              </w:rPr>
            </w:pPr>
            <w:r>
              <w:rPr>
                <w:sz w:val="23"/>
              </w:rPr>
              <w:t>II</w:t>
            </w:r>
            <w:r>
              <w:rPr>
                <w:sz w:val="23"/>
              </w:rPr>
              <w:t xml:space="preserve"> мл. </w:t>
            </w:r>
          </w:p>
          <w:p w14:paraId="5D000000">
            <w:pPr>
              <w:spacing w:line="276" w:lineRule="auto"/>
              <w:ind/>
              <w:rPr>
                <w:sz w:val="23"/>
              </w:rPr>
            </w:pPr>
          </w:p>
        </w:tc>
        <w:tc>
          <w:tcPr>
            <w:tcW w:type="dxa" w:w="10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E000000">
            <w:pPr>
              <w:spacing w:line="276" w:lineRule="auto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 xml:space="preserve">Средняя  </w:t>
            </w:r>
          </w:p>
        </w:tc>
        <w:tc>
          <w:tcPr>
            <w:tcW w:type="dxa" w:w="12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F000000">
            <w:pPr>
              <w:spacing w:line="276" w:lineRule="auto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 xml:space="preserve">Старшая </w:t>
            </w:r>
          </w:p>
        </w:tc>
        <w:tc>
          <w:tcPr>
            <w:tcW w:type="dxa" w:w="11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0000000">
            <w:pPr>
              <w:spacing w:line="276" w:lineRule="auto"/>
              <w:ind/>
              <w:rPr>
                <w:sz w:val="23"/>
              </w:rPr>
            </w:pPr>
            <w:r>
              <w:rPr>
                <w:sz w:val="23"/>
              </w:rPr>
              <w:t xml:space="preserve">Подг. </w:t>
            </w:r>
            <w:r>
              <w:rPr>
                <w:sz w:val="23"/>
              </w:rPr>
              <w:t xml:space="preserve"> </w:t>
            </w:r>
          </w:p>
        </w:tc>
      </w:tr>
      <w:tr>
        <w:trPr>
          <w:trHeight w:hRule="atLeast" w:val="208"/>
        </w:trPr>
        <w:tc>
          <w:tcPr>
            <w:tcW w:type="dxa" w:w="316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1000000">
            <w:pPr>
              <w:spacing w:line="276" w:lineRule="auto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I</w:t>
            </w:r>
            <w:r>
              <w:rPr>
                <w:sz w:val="23"/>
              </w:rPr>
              <w:t>. Обязательная часть</w:t>
            </w:r>
          </w:p>
        </w:tc>
        <w:tc>
          <w:tcPr>
            <w:tcW w:type="dxa" w:w="11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2000000">
            <w:pPr>
              <w:spacing w:line="276" w:lineRule="auto"/>
              <w:ind/>
              <w:jc w:val="center"/>
              <w:rPr>
                <w:sz w:val="23"/>
              </w:rPr>
            </w:pPr>
          </w:p>
        </w:tc>
        <w:tc>
          <w:tcPr>
            <w:tcW w:type="dxa" w:w="113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3000000">
            <w:pPr>
              <w:spacing w:line="276" w:lineRule="auto"/>
              <w:ind/>
              <w:rPr>
                <w:sz w:val="23"/>
              </w:rPr>
            </w:pPr>
          </w:p>
        </w:tc>
        <w:tc>
          <w:tcPr>
            <w:tcW w:type="dxa" w:w="10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4000000">
            <w:pPr>
              <w:spacing w:line="276" w:lineRule="auto"/>
              <w:ind/>
              <w:jc w:val="center"/>
              <w:rPr>
                <w:sz w:val="23"/>
              </w:rPr>
            </w:pPr>
          </w:p>
        </w:tc>
        <w:tc>
          <w:tcPr>
            <w:tcW w:type="dxa" w:w="12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5000000">
            <w:pPr>
              <w:spacing w:line="276" w:lineRule="auto"/>
              <w:ind/>
              <w:jc w:val="center"/>
              <w:rPr>
                <w:sz w:val="23"/>
              </w:rPr>
            </w:pPr>
          </w:p>
        </w:tc>
        <w:tc>
          <w:tcPr>
            <w:tcW w:type="dxa" w:w="11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6000000">
            <w:pPr>
              <w:spacing w:line="276" w:lineRule="auto"/>
              <w:ind/>
              <w:jc w:val="center"/>
              <w:rPr>
                <w:sz w:val="23"/>
              </w:rPr>
            </w:pPr>
          </w:p>
        </w:tc>
      </w:tr>
      <w:tr>
        <w:tc>
          <w:tcPr>
            <w:tcW w:type="dxa" w:w="125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7000000">
            <w:pPr>
              <w:rPr>
                <w:sz w:val="23"/>
              </w:rPr>
            </w:pPr>
          </w:p>
        </w:tc>
        <w:tc>
          <w:tcPr>
            <w:tcW w:type="dxa" w:w="19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8000000">
            <w:pPr>
              <w:spacing w:line="276" w:lineRule="auto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ФКЦМ</w:t>
            </w:r>
          </w:p>
        </w:tc>
        <w:tc>
          <w:tcPr>
            <w:tcW w:type="dxa" w:w="11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9000000">
            <w:pPr>
              <w:spacing w:line="276" w:lineRule="auto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1/36</w:t>
            </w:r>
          </w:p>
        </w:tc>
        <w:tc>
          <w:tcPr>
            <w:tcW w:type="dxa" w:w="113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A000000">
            <w:pPr>
              <w:spacing w:line="276" w:lineRule="auto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1/36</w:t>
            </w:r>
          </w:p>
        </w:tc>
        <w:tc>
          <w:tcPr>
            <w:tcW w:type="dxa" w:w="10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B000000">
            <w:pPr>
              <w:spacing w:line="276" w:lineRule="auto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1/36</w:t>
            </w:r>
          </w:p>
        </w:tc>
        <w:tc>
          <w:tcPr>
            <w:tcW w:type="dxa" w:w="12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C000000">
            <w:pPr>
              <w:spacing w:line="276" w:lineRule="auto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1/36</w:t>
            </w:r>
          </w:p>
        </w:tc>
        <w:tc>
          <w:tcPr>
            <w:tcW w:type="dxa" w:w="11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D000000">
            <w:pPr>
              <w:spacing w:line="276" w:lineRule="auto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1/36</w:t>
            </w:r>
          </w:p>
        </w:tc>
      </w:tr>
      <w:tr>
        <w:tc>
          <w:tcPr>
            <w:tcW w:type="dxa" w:w="125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/>
        </w:tc>
        <w:tc>
          <w:tcPr>
            <w:tcW w:type="dxa" w:w="19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E000000">
            <w:pPr>
              <w:spacing w:line="276" w:lineRule="auto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ФЭМП</w:t>
            </w:r>
          </w:p>
        </w:tc>
        <w:tc>
          <w:tcPr>
            <w:tcW w:type="dxa" w:w="11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F000000">
            <w:pPr>
              <w:spacing w:line="276" w:lineRule="auto"/>
              <w:ind/>
              <w:jc w:val="center"/>
              <w:rPr>
                <w:sz w:val="23"/>
              </w:rPr>
            </w:pPr>
          </w:p>
        </w:tc>
        <w:tc>
          <w:tcPr>
            <w:tcW w:type="dxa" w:w="113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0000000">
            <w:pPr>
              <w:spacing w:line="276" w:lineRule="auto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1/36</w:t>
            </w:r>
          </w:p>
        </w:tc>
        <w:tc>
          <w:tcPr>
            <w:tcW w:type="dxa" w:w="10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1000000">
            <w:pPr>
              <w:spacing w:line="276" w:lineRule="auto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1/36</w:t>
            </w:r>
          </w:p>
        </w:tc>
        <w:tc>
          <w:tcPr>
            <w:tcW w:type="dxa" w:w="12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2000000">
            <w:pPr>
              <w:spacing w:line="276" w:lineRule="auto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1/36</w:t>
            </w:r>
          </w:p>
        </w:tc>
        <w:tc>
          <w:tcPr>
            <w:tcW w:type="dxa" w:w="11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3000000">
            <w:pPr>
              <w:spacing w:line="276" w:lineRule="auto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2/72</w:t>
            </w:r>
          </w:p>
        </w:tc>
      </w:tr>
      <w:tr>
        <w:trPr>
          <w:trHeight w:hRule="atLeast" w:val="522"/>
        </w:trPr>
        <w:tc>
          <w:tcPr>
            <w:tcW w:type="dxa" w:w="125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/>
        </w:tc>
        <w:tc>
          <w:tcPr>
            <w:tcW w:type="dxa" w:w="19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4000000">
            <w:pPr>
              <w:tabs>
                <w:tab w:leader="none" w:pos="7114" w:val="left"/>
              </w:tabs>
              <w:spacing w:line="276" w:lineRule="auto"/>
              <w:ind/>
            </w:pPr>
            <w:r>
              <w:t xml:space="preserve">Констр. и руч.  труд </w:t>
            </w:r>
          </w:p>
        </w:tc>
        <w:tc>
          <w:tcPr>
            <w:tcW w:type="dxa" w:w="11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5000000">
            <w:pPr>
              <w:spacing w:after="200" w:line="276" w:lineRule="auto"/>
              <w:ind/>
              <w:rPr>
                <w:sz w:val="23"/>
              </w:rPr>
            </w:pPr>
          </w:p>
        </w:tc>
        <w:tc>
          <w:tcPr>
            <w:tcW w:type="dxa" w:w="4660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6000000">
            <w:pPr>
              <w:spacing w:after="200" w:line="276" w:lineRule="auto"/>
              <w:ind/>
              <w:rPr>
                <w:sz w:val="23"/>
              </w:rPr>
            </w:pPr>
            <w:r>
              <w:rPr>
                <w:sz w:val="23"/>
              </w:rPr>
              <w:t>В различных видах деятельности еженедельно</w:t>
            </w:r>
          </w:p>
        </w:tc>
      </w:tr>
      <w:tr>
        <w:trPr>
          <w:trHeight w:hRule="atLeast" w:val="424"/>
        </w:trPr>
        <w:tc>
          <w:tcPr>
            <w:tcW w:type="dxa" w:w="125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7000000">
            <w:pPr>
              <w:spacing w:line="276" w:lineRule="auto"/>
              <w:ind/>
              <w:rPr>
                <w:sz w:val="23"/>
              </w:rPr>
            </w:pPr>
            <w:r>
              <w:rPr>
                <w:sz w:val="23"/>
              </w:rPr>
              <w:t xml:space="preserve">1.2. </w:t>
            </w:r>
          </w:p>
          <w:p w14:paraId="78000000">
            <w:pPr>
              <w:spacing w:line="276" w:lineRule="auto"/>
              <w:ind/>
              <w:rPr>
                <w:sz w:val="23"/>
              </w:rPr>
            </w:pPr>
            <w:r>
              <w:rPr>
                <w:sz w:val="23"/>
              </w:rPr>
              <w:t xml:space="preserve">Речевое </w:t>
            </w:r>
          </w:p>
          <w:p w14:paraId="79000000">
            <w:pPr>
              <w:spacing w:line="276" w:lineRule="auto"/>
              <w:ind/>
              <w:rPr>
                <w:sz w:val="23"/>
              </w:rPr>
            </w:pPr>
            <w:r>
              <w:rPr>
                <w:sz w:val="23"/>
              </w:rPr>
              <w:t>развитие</w:t>
            </w:r>
          </w:p>
        </w:tc>
        <w:tc>
          <w:tcPr>
            <w:tcW w:type="dxa" w:w="19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A000000">
            <w:pPr>
              <w:tabs>
                <w:tab w:leader="none" w:pos="7114" w:val="left"/>
              </w:tabs>
              <w:spacing w:line="276" w:lineRule="auto"/>
              <w:ind/>
              <w:rPr>
                <w:sz w:val="23"/>
              </w:rPr>
            </w:pPr>
            <w:r>
              <w:rPr>
                <w:sz w:val="23"/>
              </w:rPr>
              <w:t>Ознакомление с худ.литературой</w:t>
            </w:r>
          </w:p>
        </w:tc>
        <w:tc>
          <w:tcPr>
            <w:tcW w:type="dxa" w:w="11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B000000">
            <w:pPr>
              <w:spacing w:after="200" w:line="276" w:lineRule="auto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1/36</w:t>
            </w:r>
          </w:p>
        </w:tc>
        <w:tc>
          <w:tcPr>
            <w:tcW w:type="dxa" w:w="4660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C000000">
            <w:pPr>
              <w:spacing w:after="200" w:line="276" w:lineRule="auto"/>
              <w:ind/>
              <w:rPr>
                <w:sz w:val="23"/>
              </w:rPr>
            </w:pPr>
            <w:r>
              <w:rPr>
                <w:sz w:val="23"/>
              </w:rPr>
              <w:t>В различных видах деятельности еженедельно</w:t>
            </w:r>
          </w:p>
        </w:tc>
      </w:tr>
      <w:tr>
        <w:tc>
          <w:tcPr>
            <w:tcW w:type="dxa" w:w="125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9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D000000">
            <w:pPr>
              <w:spacing w:line="276" w:lineRule="auto"/>
              <w:ind/>
              <w:jc w:val="both"/>
              <w:rPr>
                <w:sz w:val="23"/>
              </w:rPr>
            </w:pPr>
            <w:r>
              <w:rPr>
                <w:sz w:val="23"/>
              </w:rPr>
              <w:t>Развитие речи</w:t>
            </w:r>
          </w:p>
        </w:tc>
        <w:tc>
          <w:tcPr>
            <w:tcW w:type="dxa" w:w="11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E000000">
            <w:pPr>
              <w:spacing w:line="276" w:lineRule="auto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1/36</w:t>
            </w:r>
          </w:p>
        </w:tc>
        <w:tc>
          <w:tcPr>
            <w:tcW w:type="dxa" w:w="113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F000000">
            <w:pPr>
              <w:spacing w:line="276" w:lineRule="auto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1/36</w:t>
            </w:r>
          </w:p>
        </w:tc>
        <w:tc>
          <w:tcPr>
            <w:tcW w:type="dxa" w:w="10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0000000">
            <w:pPr>
              <w:spacing w:line="276" w:lineRule="auto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1/36</w:t>
            </w:r>
          </w:p>
        </w:tc>
        <w:tc>
          <w:tcPr>
            <w:tcW w:type="dxa" w:w="12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1000000">
            <w:pPr>
              <w:spacing w:line="276" w:lineRule="auto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1/36</w:t>
            </w:r>
          </w:p>
        </w:tc>
        <w:tc>
          <w:tcPr>
            <w:tcW w:type="dxa" w:w="11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2000000">
            <w:pPr>
              <w:spacing w:line="276" w:lineRule="auto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1/36</w:t>
            </w:r>
          </w:p>
        </w:tc>
      </w:tr>
      <w:tr>
        <w:tc>
          <w:tcPr>
            <w:tcW w:type="dxa" w:w="125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9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3000000">
            <w:pPr>
              <w:spacing w:line="276" w:lineRule="auto"/>
              <w:ind/>
              <w:rPr>
                <w:sz w:val="23"/>
              </w:rPr>
            </w:pPr>
            <w:r>
              <w:rPr>
                <w:sz w:val="23"/>
              </w:rPr>
              <w:t>Подготовка к об.</w:t>
            </w:r>
          </w:p>
          <w:p w14:paraId="84000000">
            <w:pPr>
              <w:spacing w:line="276" w:lineRule="auto"/>
              <w:ind/>
              <w:rPr>
                <w:sz w:val="23"/>
              </w:rPr>
            </w:pPr>
            <w:r>
              <w:rPr>
                <w:sz w:val="23"/>
              </w:rPr>
              <w:t>грамоте</w:t>
            </w:r>
          </w:p>
        </w:tc>
        <w:tc>
          <w:tcPr>
            <w:tcW w:type="dxa" w:w="11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5000000">
            <w:pPr>
              <w:spacing w:line="276" w:lineRule="auto"/>
              <w:ind/>
              <w:jc w:val="center"/>
              <w:rPr>
                <w:sz w:val="23"/>
              </w:rPr>
            </w:pPr>
          </w:p>
        </w:tc>
        <w:tc>
          <w:tcPr>
            <w:tcW w:type="dxa" w:w="113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6000000">
            <w:pPr>
              <w:spacing w:line="276" w:lineRule="auto"/>
              <w:ind/>
              <w:jc w:val="center"/>
              <w:rPr>
                <w:sz w:val="23"/>
              </w:rPr>
            </w:pPr>
          </w:p>
        </w:tc>
        <w:tc>
          <w:tcPr>
            <w:tcW w:type="dxa" w:w="10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7000000">
            <w:pPr>
              <w:spacing w:line="276" w:lineRule="auto"/>
              <w:ind/>
              <w:jc w:val="center"/>
              <w:rPr>
                <w:sz w:val="23"/>
              </w:rPr>
            </w:pPr>
          </w:p>
        </w:tc>
        <w:tc>
          <w:tcPr>
            <w:tcW w:type="dxa" w:w="12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8000000">
            <w:pPr>
              <w:spacing w:line="276" w:lineRule="auto"/>
              <w:ind/>
              <w:jc w:val="center"/>
              <w:rPr>
                <w:sz w:val="23"/>
              </w:rPr>
            </w:pPr>
          </w:p>
        </w:tc>
        <w:tc>
          <w:tcPr>
            <w:tcW w:type="dxa" w:w="11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9000000">
            <w:pPr>
              <w:spacing w:line="276" w:lineRule="auto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1/36</w:t>
            </w:r>
          </w:p>
        </w:tc>
      </w:tr>
      <w:tr>
        <w:trPr>
          <w:trHeight w:hRule="atLeast" w:val="1099"/>
        </w:trPr>
        <w:tc>
          <w:tcPr>
            <w:tcW w:type="dxa" w:w="125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A000000">
            <w:pPr>
              <w:spacing w:line="276" w:lineRule="auto"/>
              <w:ind/>
              <w:jc w:val="both"/>
              <w:rPr>
                <w:sz w:val="23"/>
              </w:rPr>
            </w:pPr>
            <w:r>
              <w:rPr>
                <w:sz w:val="23"/>
              </w:rPr>
              <w:t>1.3. Худ.эст. развитие</w:t>
            </w:r>
            <w:r>
              <w:rPr>
                <w:sz w:val="23"/>
              </w:rPr>
              <w:tab/>
            </w:r>
          </w:p>
          <w:p w14:paraId="8B000000">
            <w:pPr>
              <w:spacing w:line="276" w:lineRule="auto"/>
              <w:ind/>
              <w:rPr>
                <w:sz w:val="23"/>
              </w:rPr>
            </w:pPr>
            <w:r>
              <w:rPr>
                <w:sz w:val="23"/>
              </w:rPr>
              <w:tab/>
            </w:r>
            <w:r>
              <w:rPr>
                <w:sz w:val="23"/>
              </w:rPr>
              <w:t xml:space="preserve">   </w:t>
            </w:r>
          </w:p>
        </w:tc>
        <w:tc>
          <w:tcPr>
            <w:tcW w:type="dxa" w:w="19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C000000">
            <w:pPr>
              <w:spacing w:line="276" w:lineRule="auto"/>
              <w:ind/>
              <w:jc w:val="both"/>
              <w:rPr>
                <w:sz w:val="23"/>
              </w:rPr>
            </w:pPr>
            <w:r>
              <w:rPr>
                <w:sz w:val="23"/>
              </w:rPr>
              <w:t>Художест.-эст. развитие (Рисование)</w:t>
            </w:r>
          </w:p>
        </w:tc>
        <w:tc>
          <w:tcPr>
            <w:tcW w:type="dxa" w:w="11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D000000">
            <w:pPr>
              <w:spacing w:line="276" w:lineRule="auto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1/36</w:t>
            </w:r>
          </w:p>
        </w:tc>
        <w:tc>
          <w:tcPr>
            <w:tcW w:type="dxa" w:w="113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E000000">
            <w:pPr>
              <w:spacing w:line="276" w:lineRule="auto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1/36</w:t>
            </w:r>
          </w:p>
        </w:tc>
        <w:tc>
          <w:tcPr>
            <w:tcW w:type="dxa" w:w="10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F000000">
            <w:pPr>
              <w:spacing w:line="276" w:lineRule="auto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1/36</w:t>
            </w:r>
          </w:p>
        </w:tc>
        <w:tc>
          <w:tcPr>
            <w:tcW w:type="dxa" w:w="12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0000000">
            <w:pPr>
              <w:spacing w:line="276" w:lineRule="auto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2/72</w:t>
            </w:r>
          </w:p>
        </w:tc>
        <w:tc>
          <w:tcPr>
            <w:tcW w:type="dxa" w:w="11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1000000">
            <w:pPr>
              <w:spacing w:line="276" w:lineRule="auto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2/72</w:t>
            </w:r>
          </w:p>
        </w:tc>
      </w:tr>
      <w:tr>
        <w:tc>
          <w:tcPr>
            <w:tcW w:type="dxa" w:w="125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9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2000000">
            <w:pPr>
              <w:spacing w:line="276" w:lineRule="auto"/>
              <w:ind/>
              <w:jc w:val="both"/>
              <w:rPr>
                <w:sz w:val="23"/>
              </w:rPr>
            </w:pPr>
            <w:r>
              <w:rPr>
                <w:sz w:val="23"/>
              </w:rPr>
              <w:t xml:space="preserve">Художест.-эст. развитие (Лепка)      </w:t>
            </w:r>
          </w:p>
        </w:tc>
        <w:tc>
          <w:tcPr>
            <w:tcW w:type="dxa" w:w="11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3000000">
            <w:pPr>
              <w:spacing w:line="276" w:lineRule="auto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1/36</w:t>
            </w:r>
          </w:p>
        </w:tc>
        <w:tc>
          <w:tcPr>
            <w:tcW w:type="dxa" w:w="113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4000000">
            <w:pPr>
              <w:spacing w:line="276" w:lineRule="auto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0,5/18</w:t>
            </w:r>
          </w:p>
        </w:tc>
        <w:tc>
          <w:tcPr>
            <w:tcW w:type="dxa" w:w="10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5000000">
            <w:pPr>
              <w:spacing w:line="276" w:lineRule="auto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0,5/18</w:t>
            </w:r>
          </w:p>
        </w:tc>
        <w:tc>
          <w:tcPr>
            <w:tcW w:type="dxa" w:w="12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6000000">
            <w:pPr>
              <w:spacing w:line="276" w:lineRule="auto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0,5/ 18</w:t>
            </w:r>
          </w:p>
        </w:tc>
        <w:tc>
          <w:tcPr>
            <w:tcW w:type="dxa" w:w="11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7000000">
            <w:pPr>
              <w:spacing w:line="276" w:lineRule="auto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0,5/ 18</w:t>
            </w:r>
          </w:p>
        </w:tc>
      </w:tr>
      <w:tr>
        <w:tc>
          <w:tcPr>
            <w:tcW w:type="dxa" w:w="125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9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8000000">
            <w:pPr>
              <w:spacing w:line="276" w:lineRule="auto"/>
              <w:ind/>
              <w:rPr>
                <w:sz w:val="23"/>
              </w:rPr>
            </w:pPr>
            <w:r>
              <w:rPr>
                <w:sz w:val="23"/>
              </w:rPr>
              <w:t>Художест.-эст. развитие (Аппликация)</w:t>
            </w:r>
          </w:p>
        </w:tc>
        <w:tc>
          <w:tcPr>
            <w:tcW w:type="dxa" w:w="11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9000000">
            <w:pPr>
              <w:spacing w:line="276" w:lineRule="auto"/>
              <w:ind/>
              <w:jc w:val="center"/>
              <w:rPr>
                <w:sz w:val="23"/>
              </w:rPr>
            </w:pPr>
          </w:p>
        </w:tc>
        <w:tc>
          <w:tcPr>
            <w:tcW w:type="dxa" w:w="113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A000000">
            <w:pPr>
              <w:spacing w:line="276" w:lineRule="auto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0,5/18</w:t>
            </w:r>
          </w:p>
        </w:tc>
        <w:tc>
          <w:tcPr>
            <w:tcW w:type="dxa" w:w="10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B000000">
            <w:pPr>
              <w:spacing w:line="276" w:lineRule="auto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0,5/18</w:t>
            </w:r>
          </w:p>
        </w:tc>
        <w:tc>
          <w:tcPr>
            <w:tcW w:type="dxa" w:w="12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C000000">
            <w:pPr>
              <w:spacing w:line="276" w:lineRule="auto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0,5/ 18</w:t>
            </w:r>
          </w:p>
        </w:tc>
        <w:tc>
          <w:tcPr>
            <w:tcW w:type="dxa" w:w="11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D000000">
            <w:pPr>
              <w:spacing w:line="276" w:lineRule="auto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0,5/ 18</w:t>
            </w:r>
          </w:p>
        </w:tc>
      </w:tr>
      <w:tr>
        <w:tc>
          <w:tcPr>
            <w:tcW w:type="dxa" w:w="125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9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E000000">
            <w:pPr>
              <w:spacing w:line="276" w:lineRule="auto"/>
              <w:ind/>
              <w:rPr>
                <w:sz w:val="23"/>
              </w:rPr>
            </w:pPr>
            <w:r>
              <w:rPr>
                <w:sz w:val="23"/>
              </w:rPr>
              <w:t>Художест.-эст. развитие (Музыка)</w:t>
            </w:r>
            <w:r>
              <w:rPr>
                <w:sz w:val="23"/>
              </w:rPr>
              <w:tab/>
            </w:r>
          </w:p>
        </w:tc>
        <w:tc>
          <w:tcPr>
            <w:tcW w:type="dxa" w:w="11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F000000">
            <w:pPr>
              <w:spacing w:line="276" w:lineRule="auto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2/72</w:t>
            </w:r>
          </w:p>
        </w:tc>
        <w:tc>
          <w:tcPr>
            <w:tcW w:type="dxa" w:w="113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0000000">
            <w:pPr>
              <w:spacing w:line="276" w:lineRule="auto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2/72</w:t>
            </w:r>
          </w:p>
        </w:tc>
        <w:tc>
          <w:tcPr>
            <w:tcW w:type="dxa" w:w="10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1000000">
            <w:pPr>
              <w:spacing w:line="276" w:lineRule="auto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2/72</w:t>
            </w:r>
          </w:p>
        </w:tc>
        <w:tc>
          <w:tcPr>
            <w:tcW w:type="dxa" w:w="12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2000000">
            <w:pPr>
              <w:spacing w:line="276" w:lineRule="auto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2/72</w:t>
            </w:r>
          </w:p>
        </w:tc>
        <w:tc>
          <w:tcPr>
            <w:tcW w:type="dxa" w:w="11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3000000">
            <w:pPr>
              <w:spacing w:line="276" w:lineRule="auto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2/72</w:t>
            </w:r>
          </w:p>
        </w:tc>
      </w:tr>
      <w:tr>
        <w:trPr>
          <w:trHeight w:hRule="atLeast" w:val="305"/>
        </w:trPr>
        <w:tc>
          <w:tcPr>
            <w:tcW w:type="dxa" w:w="316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4000000">
            <w:pPr>
              <w:spacing w:line="276" w:lineRule="auto"/>
              <w:ind/>
              <w:rPr>
                <w:sz w:val="23"/>
              </w:rPr>
            </w:pPr>
            <w:r>
              <w:rPr>
                <w:sz w:val="23"/>
              </w:rPr>
              <w:t>1.4.Физическое развитие</w:t>
            </w:r>
          </w:p>
          <w:p w14:paraId="A5000000">
            <w:pPr>
              <w:spacing w:line="276" w:lineRule="auto"/>
              <w:ind/>
              <w:rPr>
                <w:sz w:val="23"/>
              </w:rPr>
            </w:pPr>
            <w:r>
              <w:rPr>
                <w:sz w:val="23"/>
              </w:rPr>
              <w:t>(Физкультура)</w:t>
            </w:r>
          </w:p>
        </w:tc>
        <w:tc>
          <w:tcPr>
            <w:tcW w:type="dxa" w:w="11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6000000">
            <w:pPr>
              <w:spacing w:line="276" w:lineRule="auto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3/108</w:t>
            </w:r>
          </w:p>
        </w:tc>
        <w:tc>
          <w:tcPr>
            <w:tcW w:type="dxa" w:w="113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7000000">
            <w:pPr>
              <w:spacing w:line="276" w:lineRule="auto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3/108</w:t>
            </w:r>
          </w:p>
        </w:tc>
        <w:tc>
          <w:tcPr>
            <w:tcW w:type="dxa" w:w="10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8000000">
            <w:pPr>
              <w:spacing w:line="276" w:lineRule="auto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3/108</w:t>
            </w:r>
          </w:p>
        </w:tc>
        <w:tc>
          <w:tcPr>
            <w:tcW w:type="dxa" w:w="12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9000000">
            <w:pPr>
              <w:spacing w:line="276" w:lineRule="auto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3/108</w:t>
            </w:r>
          </w:p>
        </w:tc>
        <w:tc>
          <w:tcPr>
            <w:tcW w:type="dxa" w:w="11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A000000">
            <w:pPr>
              <w:spacing w:line="276" w:lineRule="auto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3/108</w:t>
            </w:r>
          </w:p>
        </w:tc>
      </w:tr>
      <w:tr>
        <w:trPr>
          <w:trHeight w:hRule="atLeast" w:val="1296"/>
        </w:trPr>
        <w:tc>
          <w:tcPr>
            <w:tcW w:type="dxa" w:w="316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B000000">
            <w:pPr>
              <w:spacing w:line="276" w:lineRule="auto"/>
              <w:ind/>
              <w:rPr>
                <w:sz w:val="23"/>
              </w:rPr>
            </w:pPr>
            <w:r>
              <w:rPr>
                <w:sz w:val="23"/>
              </w:rPr>
              <w:t>1.5. Социально-коммуникативное развитие</w:t>
            </w:r>
          </w:p>
        </w:tc>
        <w:tc>
          <w:tcPr>
            <w:tcW w:type="dxa" w:w="5791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C000000">
            <w:pPr>
              <w:spacing w:after="200" w:line="276" w:lineRule="auto"/>
              <w:ind/>
              <w:rPr>
                <w:sz w:val="23"/>
              </w:rPr>
            </w:pPr>
            <w:r>
              <w:rPr>
                <w:sz w:val="23"/>
              </w:rPr>
              <w:t>Программа предполагает организацию данной деятельности за рамками организованной образовательной деятельности, реализуется в совместной, самостоятельной деятельности в ходе режимных моментов</w:t>
            </w:r>
          </w:p>
        </w:tc>
      </w:tr>
      <w:tr>
        <w:tc>
          <w:tcPr>
            <w:tcW w:type="dxa" w:w="316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D000000">
            <w:pPr>
              <w:spacing w:line="276" w:lineRule="auto"/>
              <w:ind/>
              <w:rPr>
                <w:sz w:val="23"/>
              </w:rPr>
            </w:pPr>
            <w:r>
              <w:rPr>
                <w:sz w:val="23"/>
              </w:rPr>
              <w:t>II</w:t>
            </w:r>
            <w:r>
              <w:rPr>
                <w:sz w:val="23"/>
              </w:rPr>
              <w:t>. Вариативная часть</w:t>
            </w:r>
          </w:p>
        </w:tc>
        <w:tc>
          <w:tcPr>
            <w:tcW w:type="dxa" w:w="11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E000000">
            <w:pPr>
              <w:spacing w:line="276" w:lineRule="auto"/>
              <w:ind/>
              <w:jc w:val="center"/>
              <w:rPr>
                <w:sz w:val="23"/>
              </w:rPr>
            </w:pPr>
          </w:p>
        </w:tc>
        <w:tc>
          <w:tcPr>
            <w:tcW w:type="dxa" w:w="9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F000000">
            <w:pPr>
              <w:spacing w:line="276" w:lineRule="auto"/>
              <w:ind/>
              <w:jc w:val="center"/>
              <w:rPr>
                <w:sz w:val="23"/>
              </w:rPr>
            </w:pPr>
          </w:p>
        </w:tc>
        <w:tc>
          <w:tcPr>
            <w:tcW w:type="dxa" w:w="125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0000000">
            <w:pPr>
              <w:spacing w:line="276" w:lineRule="auto"/>
              <w:ind/>
              <w:jc w:val="center"/>
              <w:rPr>
                <w:sz w:val="23"/>
              </w:rPr>
            </w:pPr>
          </w:p>
        </w:tc>
        <w:tc>
          <w:tcPr>
            <w:tcW w:type="dxa" w:w="12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1000000">
            <w:pPr>
              <w:spacing w:line="276" w:lineRule="auto"/>
              <w:ind/>
              <w:jc w:val="center"/>
              <w:rPr>
                <w:sz w:val="23"/>
              </w:rPr>
            </w:pPr>
          </w:p>
        </w:tc>
        <w:tc>
          <w:tcPr>
            <w:tcW w:type="dxa" w:w="11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2000000">
            <w:pPr>
              <w:spacing w:line="276" w:lineRule="auto"/>
              <w:ind/>
              <w:jc w:val="center"/>
              <w:rPr>
                <w:sz w:val="23"/>
              </w:rPr>
            </w:pPr>
          </w:p>
        </w:tc>
      </w:tr>
      <w:tr>
        <w:trPr>
          <w:trHeight w:hRule="atLeast" w:val="195"/>
        </w:trPr>
        <w:tc>
          <w:tcPr>
            <w:tcW w:type="dxa" w:w="3160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3000000">
            <w:pPr>
              <w:tabs>
                <w:tab w:leader="none" w:pos="7114" w:val="left"/>
              </w:tabs>
              <w:spacing w:line="276" w:lineRule="auto"/>
              <w:ind/>
              <w:rPr>
                <w:sz w:val="23"/>
              </w:rPr>
            </w:pPr>
            <w:r>
              <w:rPr>
                <w:sz w:val="23"/>
              </w:rPr>
              <w:t>Русский язык</w:t>
            </w:r>
          </w:p>
        </w:tc>
        <w:tc>
          <w:tcPr>
            <w:tcW w:type="dxa" w:w="11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4000000">
            <w:pPr>
              <w:spacing w:line="276" w:lineRule="auto"/>
              <w:ind/>
              <w:jc w:val="center"/>
              <w:rPr>
                <w:sz w:val="23"/>
              </w:rPr>
            </w:pPr>
          </w:p>
        </w:tc>
        <w:tc>
          <w:tcPr>
            <w:tcW w:type="dxa" w:w="9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5000000">
            <w:pPr>
              <w:spacing w:line="276" w:lineRule="auto"/>
              <w:ind/>
              <w:jc w:val="center"/>
              <w:rPr>
                <w:sz w:val="23"/>
              </w:rPr>
            </w:pPr>
          </w:p>
        </w:tc>
        <w:tc>
          <w:tcPr>
            <w:tcW w:type="dxa" w:w="125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6000000">
            <w:pPr>
              <w:spacing w:line="276" w:lineRule="auto"/>
              <w:ind/>
              <w:jc w:val="center"/>
              <w:rPr>
                <w:sz w:val="23"/>
              </w:rPr>
            </w:pPr>
          </w:p>
        </w:tc>
        <w:tc>
          <w:tcPr>
            <w:tcW w:type="dxa" w:w="12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7000000">
            <w:pPr>
              <w:spacing w:line="276" w:lineRule="auto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2/72</w:t>
            </w:r>
          </w:p>
        </w:tc>
        <w:tc>
          <w:tcPr>
            <w:tcW w:type="dxa" w:w="11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8000000">
            <w:pPr>
              <w:spacing w:line="276" w:lineRule="auto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2/72</w:t>
            </w:r>
          </w:p>
        </w:tc>
      </w:tr>
      <w:tr>
        <w:trPr>
          <w:trHeight w:hRule="atLeast" w:val="350"/>
        </w:trPr>
        <w:tc>
          <w:tcPr>
            <w:tcW w:type="dxa" w:w="316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1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9000000">
            <w:pPr>
              <w:spacing w:line="276" w:lineRule="auto"/>
              <w:ind/>
              <w:jc w:val="center"/>
              <w:rPr>
                <w:sz w:val="23"/>
              </w:rPr>
            </w:pPr>
          </w:p>
        </w:tc>
        <w:tc>
          <w:tcPr>
            <w:tcW w:type="dxa" w:w="9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A000000">
            <w:pPr>
              <w:spacing w:line="276" w:lineRule="auto"/>
              <w:ind/>
              <w:jc w:val="center"/>
              <w:rPr>
                <w:sz w:val="23"/>
              </w:rPr>
            </w:pPr>
          </w:p>
        </w:tc>
        <w:tc>
          <w:tcPr>
            <w:tcW w:type="dxa" w:w="125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B000000">
            <w:pPr>
              <w:spacing w:line="276" w:lineRule="auto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3</w:t>
            </w:r>
          </w:p>
          <w:p w14:paraId="BC000000">
            <w:pPr>
              <w:spacing w:line="276" w:lineRule="auto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в режимных моментах</w:t>
            </w:r>
          </w:p>
        </w:tc>
        <w:tc>
          <w:tcPr>
            <w:tcW w:type="dxa" w:w="12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D000000">
            <w:pPr>
              <w:spacing w:line="276" w:lineRule="auto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</w:p>
          <w:p w14:paraId="BE000000">
            <w:pPr>
              <w:spacing w:line="276" w:lineRule="auto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в режимных моментах</w:t>
            </w:r>
          </w:p>
        </w:tc>
        <w:tc>
          <w:tcPr>
            <w:tcW w:type="dxa" w:w="11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F000000">
            <w:pPr>
              <w:spacing w:line="276" w:lineRule="auto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 xml:space="preserve">1  </w:t>
            </w:r>
          </w:p>
          <w:p w14:paraId="C0000000">
            <w:pPr>
              <w:spacing w:line="276" w:lineRule="auto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в реж. моментах</w:t>
            </w:r>
          </w:p>
        </w:tc>
      </w:tr>
      <w:tr>
        <w:trPr>
          <w:trHeight w:hRule="atLeast" w:val="64"/>
        </w:trPr>
        <w:tc>
          <w:tcPr>
            <w:tcW w:type="dxa" w:w="316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1000000">
            <w:pPr>
              <w:spacing w:line="276" w:lineRule="auto"/>
              <w:ind/>
              <w:rPr>
                <w:sz w:val="23"/>
              </w:rPr>
            </w:pPr>
            <w:r>
              <w:rPr>
                <w:sz w:val="23"/>
              </w:rPr>
              <w:t>ИТОГО</w:t>
            </w:r>
          </w:p>
        </w:tc>
        <w:tc>
          <w:tcPr>
            <w:tcW w:type="dxa" w:w="11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2000000">
            <w:pPr>
              <w:spacing w:line="276" w:lineRule="auto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10/360</w:t>
            </w:r>
          </w:p>
        </w:tc>
        <w:tc>
          <w:tcPr>
            <w:tcW w:type="dxa" w:w="9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3000000">
            <w:pPr>
              <w:spacing w:line="276" w:lineRule="auto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  <w:r>
              <w:rPr>
                <w:sz w:val="23"/>
              </w:rPr>
              <w:t>0/360</w:t>
            </w:r>
          </w:p>
        </w:tc>
        <w:tc>
          <w:tcPr>
            <w:tcW w:type="dxa" w:w="125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4000000">
            <w:pPr>
              <w:spacing w:line="276" w:lineRule="auto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10/360</w:t>
            </w:r>
          </w:p>
        </w:tc>
        <w:tc>
          <w:tcPr>
            <w:tcW w:type="dxa" w:w="12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5000000">
            <w:pPr>
              <w:spacing w:line="276" w:lineRule="auto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13/468</w:t>
            </w:r>
          </w:p>
        </w:tc>
        <w:tc>
          <w:tcPr>
            <w:tcW w:type="dxa" w:w="11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6000000">
            <w:pPr>
              <w:spacing w:line="276" w:lineRule="auto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 xml:space="preserve">15/540 </w:t>
            </w:r>
          </w:p>
        </w:tc>
      </w:tr>
    </w:tbl>
    <w:p w14:paraId="C7000000">
      <w:pPr>
        <w:ind/>
        <w:jc w:val="center"/>
        <w:rPr>
          <w:sz w:val="28"/>
        </w:rPr>
      </w:pPr>
    </w:p>
    <w:sectPr>
      <w:pgSz w:h="16838" w:orient="portrait" w:w="11906"/>
      <w:pgMar w:bottom="719" w:footer="708" w:gutter="0" w:header="708" w:left="1701" w:right="850" w:top="899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abstractNum w:abstractNumId="0">
    <w:lvl w:ilvl="0">
      <w:start w:val="1"/>
      <w:numFmt w:val="bullet"/>
      <w:lvlText w:val=""/>
      <w:lvlJc w:val="left"/>
      <w:pPr>
        <w:ind w:hanging="360" w:left="1004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ind w:hanging="360" w:left="1724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444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3164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884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604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324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6044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764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rPr>
      <w:sz w:val="24"/>
    </w:rPr>
  </w:style>
  <w:style w:default="1" w:styleId="Style_3_ch" w:type="character">
    <w:name w:val="Normal"/>
    <w:link w:val="Style_3"/>
    <w:rPr>
      <w:sz w:val="24"/>
    </w:rPr>
  </w:style>
  <w:style w:styleId="Style_4" w:type="paragraph">
    <w:name w:val="toc 2"/>
    <w:next w:val="Style_3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Body Text Indent"/>
    <w:basedOn w:val="Style_3"/>
    <w:link w:val="Style_5_ch"/>
    <w:pPr>
      <w:ind w:firstLine="720"/>
    </w:pPr>
    <w:rPr>
      <w:sz w:val="28"/>
    </w:rPr>
  </w:style>
  <w:style w:styleId="Style_5_ch" w:type="character">
    <w:name w:val="Body Text Indent"/>
    <w:basedOn w:val="Style_3_ch"/>
    <w:link w:val="Style_5"/>
    <w:rPr>
      <w:sz w:val="28"/>
    </w:rPr>
  </w:style>
  <w:style w:styleId="Style_6" w:type="paragraph">
    <w:name w:val="toc 4"/>
    <w:next w:val="Style_3"/>
    <w:link w:val="Style_6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toc 6"/>
    <w:next w:val="Style_3"/>
    <w:link w:val="Style_7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1" w:type="paragraph">
    <w:name w:val="Default"/>
    <w:link w:val="Style_1_ch"/>
    <w:rPr>
      <w:color w:val="000000"/>
      <w:sz w:val="24"/>
    </w:rPr>
  </w:style>
  <w:style w:styleId="Style_1_ch" w:type="character">
    <w:name w:val="Default"/>
    <w:link w:val="Style_1"/>
    <w:rPr>
      <w:color w:val="000000"/>
      <w:sz w:val="24"/>
    </w:rPr>
  </w:style>
  <w:style w:styleId="Style_8" w:type="paragraph">
    <w:name w:val="toc 7"/>
    <w:next w:val="Style_3"/>
    <w:link w:val="Style_8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Body Text 3"/>
    <w:basedOn w:val="Style_3"/>
    <w:link w:val="Style_9_ch"/>
    <w:pPr>
      <w:spacing w:after="120"/>
      <w:ind/>
    </w:pPr>
    <w:rPr>
      <w:sz w:val="16"/>
    </w:rPr>
  </w:style>
  <w:style w:styleId="Style_9_ch" w:type="character">
    <w:name w:val="Body Text 3"/>
    <w:basedOn w:val="Style_3_ch"/>
    <w:link w:val="Style_9"/>
    <w:rPr>
      <w:sz w:val="16"/>
    </w:rPr>
  </w:style>
  <w:style w:styleId="Style_10" w:type="paragraph">
    <w:name w:val="heading 3"/>
    <w:next w:val="Style_3"/>
    <w:link w:val="Style_10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0_ch" w:type="character">
    <w:name w:val="heading 3"/>
    <w:link w:val="Style_10"/>
    <w:rPr>
      <w:rFonts w:ascii="XO Thames" w:hAnsi="XO Thames"/>
      <w:b w:val="1"/>
      <w:sz w:val="26"/>
    </w:rPr>
  </w:style>
  <w:style w:styleId="Style_11" w:type="paragraph">
    <w:name w:val="Default Paragraph Font"/>
    <w:link w:val="Style_11_ch"/>
  </w:style>
  <w:style w:styleId="Style_11_ch" w:type="character">
    <w:name w:val="Default Paragraph Font"/>
    <w:link w:val="Style_11"/>
  </w:style>
  <w:style w:styleId="Style_12" w:type="paragraph">
    <w:name w:val="Balloon Text"/>
    <w:basedOn w:val="Style_3"/>
    <w:link w:val="Style_12_ch"/>
    <w:rPr>
      <w:rFonts w:ascii="Tahoma" w:hAnsi="Tahoma"/>
      <w:sz w:val="16"/>
    </w:rPr>
  </w:style>
  <w:style w:styleId="Style_12_ch" w:type="character">
    <w:name w:val="Balloon Text"/>
    <w:basedOn w:val="Style_3_ch"/>
    <w:link w:val="Style_12"/>
    <w:rPr>
      <w:rFonts w:ascii="Tahoma" w:hAnsi="Tahoma"/>
      <w:sz w:val="16"/>
    </w:rPr>
  </w:style>
  <w:style w:styleId="Style_13" w:type="paragraph">
    <w:name w:val="toc 3"/>
    <w:next w:val="Style_3"/>
    <w:link w:val="Style_13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3_ch" w:type="character">
    <w:name w:val="toc 3"/>
    <w:link w:val="Style_13"/>
    <w:rPr>
      <w:rFonts w:ascii="XO Thames" w:hAnsi="XO Thames"/>
      <w:sz w:val="28"/>
    </w:rPr>
  </w:style>
  <w:style w:styleId="Style_14" w:type="paragraph">
    <w:name w:val="heading 5"/>
    <w:next w:val="Style_3"/>
    <w:link w:val="Style_14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4_ch" w:type="character">
    <w:name w:val="heading 5"/>
    <w:link w:val="Style_14"/>
    <w:rPr>
      <w:rFonts w:ascii="XO Thames" w:hAnsi="XO Thames"/>
      <w:b w:val="1"/>
      <w:sz w:val="22"/>
    </w:rPr>
  </w:style>
  <w:style w:styleId="Style_15" w:type="paragraph">
    <w:name w:val="heading 1"/>
    <w:next w:val="Style_3"/>
    <w:link w:val="Style_15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5_ch" w:type="character">
    <w:name w:val="heading 1"/>
    <w:link w:val="Style_15"/>
    <w:rPr>
      <w:rFonts w:ascii="XO Thames" w:hAnsi="XO Thames"/>
      <w:b w:val="1"/>
      <w:sz w:val="32"/>
    </w:rPr>
  </w:style>
  <w:style w:styleId="Style_16" w:type="paragraph">
    <w:name w:val="Hyperlink"/>
    <w:link w:val="Style_16_ch"/>
    <w:rPr>
      <w:color w:val="0000FF"/>
      <w:u w:val="single"/>
    </w:rPr>
  </w:style>
  <w:style w:styleId="Style_16_ch" w:type="character">
    <w:name w:val="Hyperlink"/>
    <w:link w:val="Style_16"/>
    <w:rPr>
      <w:color w:val="0000FF"/>
      <w:u w:val="single"/>
    </w:rPr>
  </w:style>
  <w:style w:styleId="Style_17" w:type="paragraph">
    <w:name w:val="Footnote"/>
    <w:link w:val="Style_17_ch"/>
    <w:pPr>
      <w:ind w:firstLine="851" w:left="0"/>
      <w:jc w:val="both"/>
    </w:pPr>
    <w:rPr>
      <w:rFonts w:ascii="XO Thames" w:hAnsi="XO Thames"/>
      <w:sz w:val="22"/>
    </w:rPr>
  </w:style>
  <w:style w:styleId="Style_17_ch" w:type="character">
    <w:name w:val="Footnote"/>
    <w:link w:val="Style_17"/>
    <w:rPr>
      <w:rFonts w:ascii="XO Thames" w:hAnsi="XO Thames"/>
      <w:sz w:val="22"/>
    </w:rPr>
  </w:style>
  <w:style w:styleId="Style_18" w:type="paragraph">
    <w:name w:val="toc 1"/>
    <w:next w:val="Style_3"/>
    <w:link w:val="Style_18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8_ch" w:type="character">
    <w:name w:val="toc 1"/>
    <w:link w:val="Style_18"/>
    <w:rPr>
      <w:rFonts w:ascii="XO Thames" w:hAnsi="XO Thames"/>
      <w:b w:val="1"/>
      <w:sz w:val="28"/>
    </w:rPr>
  </w:style>
  <w:style w:styleId="Style_19" w:type="paragraph">
    <w:name w:val="Body Text 2"/>
    <w:basedOn w:val="Style_3"/>
    <w:link w:val="Style_19_ch"/>
    <w:pPr>
      <w:spacing w:after="120" w:line="480" w:lineRule="auto"/>
      <w:ind/>
    </w:pPr>
  </w:style>
  <w:style w:styleId="Style_19_ch" w:type="character">
    <w:name w:val="Body Text 2"/>
    <w:basedOn w:val="Style_3_ch"/>
    <w:link w:val="Style_19"/>
  </w:style>
  <w:style w:styleId="Style_20" w:type="paragraph">
    <w:name w:val="Header and Footer"/>
    <w:link w:val="Style_20_ch"/>
    <w:pPr>
      <w:spacing w:line="240" w:lineRule="auto"/>
      <w:ind/>
      <w:jc w:val="both"/>
    </w:pPr>
    <w:rPr>
      <w:rFonts w:ascii="XO Thames" w:hAnsi="XO Thames"/>
      <w:sz w:val="20"/>
    </w:rPr>
  </w:style>
  <w:style w:styleId="Style_20_ch" w:type="character">
    <w:name w:val="Header and Footer"/>
    <w:link w:val="Style_20"/>
    <w:rPr>
      <w:rFonts w:ascii="XO Thames" w:hAnsi="XO Thames"/>
      <w:sz w:val="20"/>
    </w:rPr>
  </w:style>
  <w:style w:styleId="Style_21" w:type="paragraph">
    <w:name w:val="toc 9"/>
    <w:next w:val="Style_3"/>
    <w:link w:val="Style_21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1_ch" w:type="character">
    <w:name w:val="toc 9"/>
    <w:link w:val="Style_21"/>
    <w:rPr>
      <w:rFonts w:ascii="XO Thames" w:hAnsi="XO Thames"/>
      <w:sz w:val="28"/>
    </w:rPr>
  </w:style>
  <w:style w:styleId="Style_22" w:type="paragraph">
    <w:name w:val="toc 8"/>
    <w:next w:val="Style_3"/>
    <w:link w:val="Style_22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2_ch" w:type="character">
    <w:name w:val="toc 8"/>
    <w:link w:val="Style_22"/>
    <w:rPr>
      <w:rFonts w:ascii="XO Thames" w:hAnsi="XO Thames"/>
      <w:sz w:val="28"/>
    </w:rPr>
  </w:style>
  <w:style w:styleId="Style_23" w:type="paragraph">
    <w:name w:val="toc 5"/>
    <w:next w:val="Style_3"/>
    <w:link w:val="Style_23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3_ch" w:type="character">
    <w:name w:val="toc 5"/>
    <w:link w:val="Style_23"/>
    <w:rPr>
      <w:rFonts w:ascii="XO Thames" w:hAnsi="XO Thames"/>
      <w:sz w:val="28"/>
    </w:rPr>
  </w:style>
  <w:style w:styleId="Style_24" w:type="paragraph">
    <w:name w:val="Subtitle"/>
    <w:next w:val="Style_3"/>
    <w:link w:val="Style_24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4_ch" w:type="character">
    <w:name w:val="Subtitle"/>
    <w:link w:val="Style_24"/>
    <w:rPr>
      <w:rFonts w:ascii="XO Thames" w:hAnsi="XO Thames"/>
      <w:i w:val="1"/>
      <w:sz w:val="24"/>
    </w:rPr>
  </w:style>
  <w:style w:styleId="Style_25" w:type="paragraph">
    <w:name w:val="Body Text"/>
    <w:basedOn w:val="Style_3"/>
    <w:link w:val="Style_25_ch"/>
    <w:pPr>
      <w:spacing w:after="120"/>
      <w:ind/>
    </w:pPr>
  </w:style>
  <w:style w:styleId="Style_25_ch" w:type="character">
    <w:name w:val="Body Text"/>
    <w:basedOn w:val="Style_3_ch"/>
    <w:link w:val="Style_25"/>
  </w:style>
  <w:style w:styleId="Style_26" w:type="paragraph">
    <w:name w:val="toc 10"/>
    <w:next w:val="Style_3"/>
    <w:link w:val="Style_26_ch"/>
    <w:uiPriority w:val="39"/>
    <w:pPr>
      <w:ind w:firstLine="0" w:left="1800"/>
      <w:jc w:val="left"/>
    </w:pPr>
    <w:rPr>
      <w:rFonts w:ascii="XO Thames" w:hAnsi="XO Thames"/>
      <w:sz w:val="28"/>
    </w:rPr>
  </w:style>
  <w:style w:styleId="Style_26_ch" w:type="character">
    <w:name w:val="toc 10"/>
    <w:link w:val="Style_26"/>
    <w:rPr>
      <w:rFonts w:ascii="XO Thames" w:hAnsi="XO Thames"/>
      <w:sz w:val="28"/>
    </w:rPr>
  </w:style>
  <w:style w:styleId="Style_27" w:type="paragraph">
    <w:name w:val="Title"/>
    <w:next w:val="Style_3"/>
    <w:link w:val="Style_27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7_ch" w:type="character">
    <w:name w:val="Title"/>
    <w:link w:val="Style_27"/>
    <w:rPr>
      <w:rFonts w:ascii="XO Thames" w:hAnsi="XO Thames"/>
      <w:b w:val="1"/>
      <w:caps w:val="1"/>
      <w:sz w:val="40"/>
    </w:rPr>
  </w:style>
  <w:style w:styleId="Style_28" w:type="paragraph">
    <w:name w:val="heading 4"/>
    <w:next w:val="Style_3"/>
    <w:link w:val="Style_28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8_ch" w:type="character">
    <w:name w:val="heading 4"/>
    <w:link w:val="Style_28"/>
    <w:rPr>
      <w:rFonts w:ascii="XO Thames" w:hAnsi="XO Thames"/>
      <w:b w:val="1"/>
      <w:sz w:val="24"/>
    </w:rPr>
  </w:style>
  <w:style w:styleId="Style_29" w:type="paragraph">
    <w:name w:val="heading 2"/>
    <w:next w:val="Style_3"/>
    <w:link w:val="Style_29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9_ch" w:type="character">
    <w:name w:val="heading 2"/>
    <w:link w:val="Style_29"/>
    <w:rPr>
      <w:rFonts w:ascii="XO Thames" w:hAnsi="XO Thames"/>
      <w:b w:val="1"/>
      <w:sz w:val="28"/>
    </w:r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30" w:type="table">
    <w:name w:val="Table Grid"/>
    <w:basedOn w:val="Style_2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8" Target="numbering.xml" Type="http://schemas.openxmlformats.org/officeDocument/2006/relationships/numbering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media/1.png" Type="http://schemas.openxmlformats.org/officeDocument/2006/relationships/image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2024-09-26T07:40:22Z</dcterms:modified>
</cp:coreProperties>
</file>